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96" w:rsidRPr="006178FD" w:rsidRDefault="00550B0E" w:rsidP="00550B0E">
      <w:pPr>
        <w:jc w:val="center"/>
        <w:rPr>
          <w:rFonts w:ascii="Arial Black" w:hAnsi="Arial Black"/>
          <w:sz w:val="44"/>
          <w:szCs w:val="44"/>
          <w:u w:val="single"/>
        </w:rPr>
      </w:pPr>
      <w:r>
        <w:rPr>
          <w:rFonts w:ascii="Arial Black" w:hAnsi="Arial Black"/>
          <w:noProof/>
          <w:sz w:val="44"/>
          <w:szCs w:val="4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41.65pt;margin-top:-38.1pt;width:96.3pt;height:84.15pt;z-index:251659264" stroked="f">
            <v:textbox>
              <w:txbxContent>
                <w:p w:rsidR="00550B0E" w:rsidRPr="006178FD" w:rsidRDefault="00550B0E" w:rsidP="006178F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29005" cy="977265"/>
                        <wp:effectExtent l="19050" t="0" r="4445" b="0"/>
                        <wp:docPr id="4" name="Image 0" descr="LRFO+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RFO+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005" cy="977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78FD">
        <w:rPr>
          <w:rFonts w:ascii="Arial Black" w:hAnsi="Arial Black"/>
          <w:noProof/>
          <w:sz w:val="44"/>
          <w:szCs w:val="44"/>
          <w:u w:val="single"/>
          <w:lang w:eastAsia="fr-FR"/>
        </w:rPr>
        <w:pict>
          <v:shape id="_x0000_s1026" type="#_x0000_t202" style="position:absolute;left:0;text-align:left;margin-left:-13.8pt;margin-top:-38.1pt;width:96.3pt;height:84.15pt;z-index:251658240" stroked="f">
            <v:textbox>
              <w:txbxContent>
                <w:p w:rsidR="006178FD" w:rsidRPr="006178FD" w:rsidRDefault="006178FD" w:rsidP="006178F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29005" cy="977265"/>
                        <wp:effectExtent l="19050" t="0" r="4445" b="0"/>
                        <wp:docPr id="1" name="Image 0" descr="LRFO+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RFO+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005" cy="977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78FD" w:rsidRPr="006178FD">
        <w:rPr>
          <w:rFonts w:ascii="Arial Black" w:hAnsi="Arial Black"/>
          <w:sz w:val="44"/>
          <w:szCs w:val="44"/>
          <w:u w:val="single"/>
        </w:rPr>
        <w:t>LIGUE REGIONALE DE FOOTBALL D’ORAN</w:t>
      </w:r>
    </w:p>
    <w:p w:rsidR="00C35396" w:rsidRPr="006178FD" w:rsidRDefault="00C35396" w:rsidP="00C35396">
      <w:pPr>
        <w:rPr>
          <w:rFonts w:ascii="Arial Black" w:hAnsi="Arial Black"/>
        </w:rPr>
      </w:pPr>
    </w:p>
    <w:p w:rsidR="003209E2" w:rsidRDefault="00C35396" w:rsidP="003209E2">
      <w:pPr>
        <w:jc w:val="center"/>
        <w:rPr>
          <w:rFonts w:ascii="Arial Black" w:hAnsi="Arial Black"/>
          <w:sz w:val="28"/>
          <w:szCs w:val="28"/>
        </w:rPr>
      </w:pPr>
      <w:r w:rsidRPr="003209E2">
        <w:rPr>
          <w:rFonts w:ascii="Arial Black" w:hAnsi="Arial Black"/>
          <w:sz w:val="28"/>
          <w:szCs w:val="28"/>
        </w:rPr>
        <w:t>Tableau de défalcation de points concernant</w:t>
      </w:r>
      <w:r w:rsidR="003209E2" w:rsidRPr="003209E2">
        <w:rPr>
          <w:rFonts w:ascii="Arial Black" w:hAnsi="Arial Black"/>
          <w:sz w:val="28"/>
          <w:szCs w:val="28"/>
        </w:rPr>
        <w:t xml:space="preserve"> </w:t>
      </w:r>
      <w:r w:rsidRPr="003209E2">
        <w:rPr>
          <w:rFonts w:ascii="Arial Black" w:hAnsi="Arial Black"/>
          <w:sz w:val="28"/>
          <w:szCs w:val="28"/>
        </w:rPr>
        <w:t xml:space="preserve">les clubs de la </w:t>
      </w:r>
      <w:r w:rsidR="003209E2">
        <w:rPr>
          <w:rFonts w:ascii="Arial Black" w:hAnsi="Arial Black"/>
          <w:sz w:val="28"/>
          <w:szCs w:val="28"/>
        </w:rPr>
        <w:t>ligue</w:t>
      </w:r>
      <w:r w:rsidRPr="003209E2">
        <w:rPr>
          <w:rFonts w:ascii="Arial Black" w:hAnsi="Arial Black"/>
          <w:sz w:val="28"/>
          <w:szCs w:val="28"/>
        </w:rPr>
        <w:t xml:space="preserve"> </w:t>
      </w:r>
      <w:r w:rsidR="003209E2" w:rsidRPr="003209E2">
        <w:rPr>
          <w:rFonts w:ascii="Arial Black" w:hAnsi="Arial Black"/>
          <w:sz w:val="28"/>
          <w:szCs w:val="28"/>
        </w:rPr>
        <w:t>Inter</w:t>
      </w:r>
      <w:r w:rsidRPr="003209E2">
        <w:rPr>
          <w:rFonts w:ascii="Arial Black" w:hAnsi="Arial Black"/>
          <w:sz w:val="28"/>
          <w:szCs w:val="28"/>
        </w:rPr>
        <w:t xml:space="preserve">-régions </w:t>
      </w:r>
    </w:p>
    <w:p w:rsidR="00C35396" w:rsidRPr="003209E2" w:rsidRDefault="00C35396" w:rsidP="003209E2">
      <w:pPr>
        <w:jc w:val="center"/>
        <w:rPr>
          <w:rFonts w:ascii="Arial Black" w:hAnsi="Arial Black"/>
          <w:sz w:val="28"/>
          <w:szCs w:val="28"/>
        </w:rPr>
      </w:pPr>
      <w:r w:rsidRPr="003209E2">
        <w:rPr>
          <w:rFonts w:ascii="Arial Black" w:hAnsi="Arial Black"/>
          <w:sz w:val="28"/>
          <w:szCs w:val="28"/>
        </w:rPr>
        <w:t xml:space="preserve">et la </w:t>
      </w:r>
      <w:r w:rsidR="003209E2">
        <w:rPr>
          <w:rFonts w:ascii="Arial Black" w:hAnsi="Arial Black"/>
          <w:sz w:val="28"/>
          <w:szCs w:val="28"/>
        </w:rPr>
        <w:t>ligue</w:t>
      </w:r>
      <w:r w:rsidRPr="003209E2">
        <w:rPr>
          <w:rFonts w:ascii="Arial Black" w:hAnsi="Arial Black"/>
          <w:sz w:val="28"/>
          <w:szCs w:val="28"/>
        </w:rPr>
        <w:t xml:space="preserve"> régionale </w:t>
      </w:r>
      <w:r w:rsidR="003209E2">
        <w:rPr>
          <w:rFonts w:ascii="Arial Black" w:hAnsi="Arial Black"/>
          <w:sz w:val="28"/>
          <w:szCs w:val="28"/>
        </w:rPr>
        <w:t xml:space="preserve">d’Oran </w:t>
      </w:r>
      <w:r w:rsidRPr="003209E2">
        <w:rPr>
          <w:rFonts w:ascii="Arial Black" w:hAnsi="Arial Black"/>
          <w:sz w:val="28"/>
          <w:szCs w:val="28"/>
        </w:rPr>
        <w:t>n’ayant</w:t>
      </w:r>
      <w:r w:rsidR="003209E2" w:rsidRPr="003209E2">
        <w:rPr>
          <w:rFonts w:ascii="Arial Black" w:hAnsi="Arial Black"/>
          <w:sz w:val="28"/>
          <w:szCs w:val="28"/>
        </w:rPr>
        <w:t xml:space="preserve"> pas</w:t>
      </w:r>
      <w:r w:rsidRPr="003209E2">
        <w:rPr>
          <w:rFonts w:ascii="Arial Black" w:hAnsi="Arial Black"/>
          <w:sz w:val="28"/>
          <w:szCs w:val="28"/>
        </w:rPr>
        <w:t xml:space="preserve"> </w:t>
      </w:r>
      <w:r w:rsidR="003209E2" w:rsidRPr="003209E2">
        <w:rPr>
          <w:rFonts w:ascii="Arial Black" w:hAnsi="Arial Black"/>
          <w:sz w:val="28"/>
          <w:szCs w:val="28"/>
        </w:rPr>
        <w:t>honoré</w:t>
      </w:r>
      <w:r w:rsidRPr="003209E2">
        <w:rPr>
          <w:rFonts w:ascii="Arial Black" w:hAnsi="Arial Black"/>
          <w:sz w:val="28"/>
          <w:szCs w:val="28"/>
        </w:rPr>
        <w:t xml:space="preserve"> leurs créances</w:t>
      </w:r>
    </w:p>
    <w:p w:rsidR="00C35396" w:rsidRDefault="00C35396" w:rsidP="00C35396">
      <w:r>
        <w:t xml:space="preserve">  </w:t>
      </w:r>
    </w:p>
    <w:tbl>
      <w:tblPr>
        <w:tblStyle w:val="Grilledutableau"/>
        <w:tblW w:w="14950" w:type="dxa"/>
        <w:jc w:val="center"/>
        <w:tblLook w:val="04A0"/>
      </w:tblPr>
      <w:tblGrid>
        <w:gridCol w:w="565"/>
        <w:gridCol w:w="2446"/>
        <w:gridCol w:w="3191"/>
        <w:gridCol w:w="3480"/>
        <w:gridCol w:w="2568"/>
        <w:gridCol w:w="2700"/>
      </w:tblGrid>
      <w:tr w:rsidR="003209E2" w:rsidRPr="006178FD" w:rsidTr="003209E2">
        <w:trPr>
          <w:trHeight w:val="879"/>
          <w:jc w:val="center"/>
        </w:trPr>
        <w:tc>
          <w:tcPr>
            <w:tcW w:w="565" w:type="dxa"/>
            <w:vAlign w:val="center"/>
          </w:tcPr>
          <w:p w:rsidR="00C35396" w:rsidRPr="006178FD" w:rsidRDefault="00C35396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446" w:type="dxa"/>
            <w:vAlign w:val="center"/>
          </w:tcPr>
          <w:p w:rsidR="00C35396" w:rsidRPr="006178FD" w:rsidRDefault="00C35396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3191" w:type="dxa"/>
            <w:vAlign w:val="center"/>
          </w:tcPr>
          <w:p w:rsidR="003209E2" w:rsidRDefault="00C35396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>Défalcation concernant créances</w:t>
            </w:r>
            <w:r w:rsidR="006178FD">
              <w:rPr>
                <w:b/>
                <w:bCs/>
                <w:sz w:val="24"/>
                <w:szCs w:val="24"/>
              </w:rPr>
              <w:t xml:space="preserve"> antérieures </w:t>
            </w:r>
          </w:p>
          <w:p w:rsidR="00C35396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(2024-2025)</w:t>
            </w:r>
          </w:p>
        </w:tc>
        <w:tc>
          <w:tcPr>
            <w:tcW w:w="3480" w:type="dxa"/>
            <w:vAlign w:val="center"/>
          </w:tcPr>
          <w:p w:rsidR="003209E2" w:rsidRDefault="00C35396" w:rsidP="003209E2">
            <w:pPr>
              <w:jc w:val="center"/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 xml:space="preserve">Défalcation concernant </w:t>
            </w:r>
            <w:r w:rsidRPr="006178FD">
              <w:rPr>
                <w:b/>
                <w:bCs/>
                <w:sz w:val="24"/>
                <w:szCs w:val="24"/>
              </w:rPr>
              <w:t>les am</w:t>
            </w:r>
            <w:r w:rsidR="003209E2">
              <w:rPr>
                <w:b/>
                <w:bCs/>
                <w:sz w:val="24"/>
                <w:szCs w:val="24"/>
              </w:rPr>
              <w:t>e</w:t>
            </w:r>
            <w:r w:rsidRPr="006178FD">
              <w:rPr>
                <w:b/>
                <w:bCs/>
                <w:sz w:val="24"/>
                <w:szCs w:val="24"/>
              </w:rPr>
              <w:t>ndes</w:t>
            </w:r>
            <w:r w:rsidR="003209E2">
              <w:rPr>
                <w:b/>
                <w:bCs/>
                <w:sz w:val="24"/>
                <w:szCs w:val="24"/>
              </w:rPr>
              <w:t xml:space="preserve"> de la 1</w:t>
            </w:r>
            <w:r w:rsidR="003209E2" w:rsidRPr="003209E2">
              <w:rPr>
                <w:b/>
                <w:bCs/>
                <w:sz w:val="24"/>
                <w:szCs w:val="24"/>
                <w:vertAlign w:val="superscript"/>
              </w:rPr>
              <w:t>ère</w:t>
            </w:r>
            <w:r w:rsidR="003209E2">
              <w:rPr>
                <w:b/>
                <w:bCs/>
                <w:sz w:val="24"/>
                <w:szCs w:val="24"/>
              </w:rPr>
              <w:t xml:space="preserve"> période </w:t>
            </w:r>
          </w:p>
          <w:p w:rsidR="00C35396" w:rsidRPr="006178FD" w:rsidRDefault="003209E2" w:rsidP="00550B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 30.11.202</w:t>
            </w:r>
            <w:r w:rsidR="00550B0E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(2024/2025)</w:t>
            </w:r>
            <w:r w:rsidR="006178F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vAlign w:val="center"/>
          </w:tcPr>
          <w:p w:rsidR="003209E2" w:rsidRDefault="00C35396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 xml:space="preserve">Total défalcation points en date </w:t>
            </w:r>
          </w:p>
          <w:p w:rsidR="00C35396" w:rsidRPr="006178FD" w:rsidRDefault="00C35396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>du 09.01.2025</w:t>
            </w:r>
          </w:p>
        </w:tc>
        <w:tc>
          <w:tcPr>
            <w:tcW w:w="2700" w:type="dxa"/>
            <w:vAlign w:val="center"/>
          </w:tcPr>
          <w:p w:rsidR="00C35396" w:rsidRPr="006178FD" w:rsidRDefault="00C35396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>Ligue</w:t>
            </w:r>
            <w:r w:rsidR="003209E2">
              <w:rPr>
                <w:b/>
                <w:bCs/>
                <w:sz w:val="24"/>
                <w:szCs w:val="24"/>
              </w:rPr>
              <w:t>s</w:t>
            </w:r>
            <w:r w:rsidRPr="006178FD">
              <w:rPr>
                <w:b/>
                <w:bCs/>
                <w:sz w:val="24"/>
                <w:szCs w:val="24"/>
              </w:rPr>
              <w:t xml:space="preserve"> concernée</w:t>
            </w:r>
            <w:r w:rsidR="003209E2">
              <w:rPr>
                <w:b/>
                <w:bCs/>
                <w:sz w:val="24"/>
                <w:szCs w:val="24"/>
              </w:rPr>
              <w:t>s</w:t>
            </w:r>
            <w:r w:rsidRPr="006178FD">
              <w:rPr>
                <w:b/>
                <w:bCs/>
                <w:sz w:val="24"/>
                <w:szCs w:val="24"/>
              </w:rPr>
              <w:t xml:space="preserve"> pour application défalcation</w:t>
            </w:r>
          </w:p>
        </w:tc>
      </w:tr>
      <w:tr w:rsidR="003209E2" w:rsidRPr="006178FD" w:rsidTr="003209E2">
        <w:trPr>
          <w:trHeight w:val="759"/>
          <w:jc w:val="center"/>
        </w:trPr>
        <w:tc>
          <w:tcPr>
            <w:tcW w:w="565" w:type="dxa"/>
            <w:vAlign w:val="center"/>
          </w:tcPr>
          <w:p w:rsidR="00C35396" w:rsidRPr="006178FD" w:rsidRDefault="00C35396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446" w:type="dxa"/>
            <w:vAlign w:val="center"/>
          </w:tcPr>
          <w:p w:rsidR="00C35396" w:rsidRPr="006178FD" w:rsidRDefault="00C35396" w:rsidP="003209E2">
            <w:pPr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 xml:space="preserve">Nasr Senia </w:t>
            </w:r>
          </w:p>
        </w:tc>
        <w:tc>
          <w:tcPr>
            <w:tcW w:w="3191" w:type="dxa"/>
            <w:vAlign w:val="center"/>
          </w:tcPr>
          <w:p w:rsidR="00C35396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point</w:t>
            </w:r>
          </w:p>
        </w:tc>
        <w:tc>
          <w:tcPr>
            <w:tcW w:w="3480" w:type="dxa"/>
            <w:vAlign w:val="center"/>
          </w:tcPr>
          <w:p w:rsidR="00C35396" w:rsidRPr="003209E2" w:rsidRDefault="006178FD" w:rsidP="00C35396">
            <w:pPr>
              <w:jc w:val="center"/>
              <w:rPr>
                <w:b/>
                <w:bCs/>
                <w:sz w:val="44"/>
                <w:szCs w:val="44"/>
              </w:rPr>
            </w:pPr>
            <w:r w:rsidRPr="003209E2">
              <w:rPr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2568" w:type="dxa"/>
            <w:vAlign w:val="center"/>
          </w:tcPr>
          <w:p w:rsidR="00C35396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point</w:t>
            </w:r>
          </w:p>
        </w:tc>
        <w:tc>
          <w:tcPr>
            <w:tcW w:w="2700" w:type="dxa"/>
            <w:vAlign w:val="center"/>
          </w:tcPr>
          <w:p w:rsidR="00C35396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Ligue inter-régions</w:t>
            </w:r>
          </w:p>
        </w:tc>
      </w:tr>
      <w:tr w:rsidR="00C35396" w:rsidRPr="006178FD" w:rsidTr="003209E2">
        <w:trPr>
          <w:trHeight w:val="759"/>
          <w:jc w:val="center"/>
        </w:trPr>
        <w:tc>
          <w:tcPr>
            <w:tcW w:w="565" w:type="dxa"/>
            <w:vAlign w:val="center"/>
          </w:tcPr>
          <w:p w:rsidR="00C35396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446" w:type="dxa"/>
            <w:vAlign w:val="center"/>
          </w:tcPr>
          <w:p w:rsidR="00C35396" w:rsidRPr="006178FD" w:rsidRDefault="00C35396" w:rsidP="003209E2">
            <w:pPr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 xml:space="preserve">ORC Boukhanefis </w:t>
            </w:r>
          </w:p>
        </w:tc>
        <w:tc>
          <w:tcPr>
            <w:tcW w:w="3191" w:type="dxa"/>
            <w:vAlign w:val="center"/>
          </w:tcPr>
          <w:p w:rsidR="00C35396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point</w:t>
            </w:r>
          </w:p>
        </w:tc>
        <w:tc>
          <w:tcPr>
            <w:tcW w:w="3480" w:type="dxa"/>
            <w:vAlign w:val="center"/>
          </w:tcPr>
          <w:p w:rsidR="00C35396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point</w:t>
            </w:r>
          </w:p>
        </w:tc>
        <w:tc>
          <w:tcPr>
            <w:tcW w:w="2568" w:type="dxa"/>
            <w:vAlign w:val="center"/>
          </w:tcPr>
          <w:p w:rsidR="00C35396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 points</w:t>
            </w:r>
          </w:p>
        </w:tc>
        <w:tc>
          <w:tcPr>
            <w:tcW w:w="2700" w:type="dxa"/>
            <w:vAlign w:val="center"/>
          </w:tcPr>
          <w:p w:rsidR="00C35396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Ligue régionale de football d’Oran  </w:t>
            </w:r>
          </w:p>
        </w:tc>
      </w:tr>
      <w:tr w:rsidR="006178FD" w:rsidRPr="006178FD" w:rsidTr="003209E2">
        <w:trPr>
          <w:trHeight w:val="759"/>
          <w:jc w:val="center"/>
        </w:trPr>
        <w:tc>
          <w:tcPr>
            <w:tcW w:w="565" w:type="dxa"/>
            <w:vAlign w:val="center"/>
          </w:tcPr>
          <w:p w:rsidR="006178FD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446" w:type="dxa"/>
            <w:vAlign w:val="center"/>
          </w:tcPr>
          <w:p w:rsidR="006178FD" w:rsidRPr="006178FD" w:rsidRDefault="006178FD" w:rsidP="003209E2">
            <w:pPr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 xml:space="preserve">CRB Sidi Ali </w:t>
            </w:r>
          </w:p>
        </w:tc>
        <w:tc>
          <w:tcPr>
            <w:tcW w:w="3191" w:type="dxa"/>
            <w:vAlign w:val="center"/>
          </w:tcPr>
          <w:p w:rsidR="006178FD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point</w:t>
            </w:r>
          </w:p>
        </w:tc>
        <w:tc>
          <w:tcPr>
            <w:tcW w:w="3480" w:type="dxa"/>
            <w:vAlign w:val="center"/>
          </w:tcPr>
          <w:p w:rsidR="006178FD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point</w:t>
            </w:r>
          </w:p>
        </w:tc>
        <w:tc>
          <w:tcPr>
            <w:tcW w:w="2568" w:type="dxa"/>
            <w:vAlign w:val="center"/>
          </w:tcPr>
          <w:p w:rsidR="006178FD" w:rsidRPr="006178FD" w:rsidRDefault="006178FD" w:rsidP="008066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 points</w:t>
            </w:r>
          </w:p>
        </w:tc>
        <w:tc>
          <w:tcPr>
            <w:tcW w:w="2700" w:type="dxa"/>
            <w:vAlign w:val="center"/>
          </w:tcPr>
          <w:p w:rsidR="006178FD" w:rsidRPr="006178FD" w:rsidRDefault="006178FD" w:rsidP="00BD7B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Ligue régionale de football d’Oran  </w:t>
            </w:r>
          </w:p>
        </w:tc>
      </w:tr>
      <w:tr w:rsidR="006178FD" w:rsidRPr="006178FD" w:rsidTr="003209E2">
        <w:trPr>
          <w:trHeight w:val="759"/>
          <w:jc w:val="center"/>
        </w:trPr>
        <w:tc>
          <w:tcPr>
            <w:tcW w:w="565" w:type="dxa"/>
            <w:vAlign w:val="center"/>
          </w:tcPr>
          <w:p w:rsidR="006178FD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446" w:type="dxa"/>
            <w:vAlign w:val="center"/>
          </w:tcPr>
          <w:p w:rsidR="006178FD" w:rsidRPr="006178FD" w:rsidRDefault="006178FD" w:rsidP="003209E2">
            <w:pPr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 xml:space="preserve">USM Temouchent </w:t>
            </w:r>
          </w:p>
        </w:tc>
        <w:tc>
          <w:tcPr>
            <w:tcW w:w="3191" w:type="dxa"/>
            <w:vAlign w:val="center"/>
          </w:tcPr>
          <w:p w:rsidR="006178FD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point</w:t>
            </w:r>
          </w:p>
        </w:tc>
        <w:tc>
          <w:tcPr>
            <w:tcW w:w="3480" w:type="dxa"/>
            <w:vAlign w:val="center"/>
          </w:tcPr>
          <w:p w:rsidR="006178FD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point</w:t>
            </w:r>
          </w:p>
        </w:tc>
        <w:tc>
          <w:tcPr>
            <w:tcW w:w="2568" w:type="dxa"/>
            <w:vAlign w:val="center"/>
          </w:tcPr>
          <w:p w:rsidR="006178FD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 points</w:t>
            </w:r>
          </w:p>
        </w:tc>
        <w:tc>
          <w:tcPr>
            <w:tcW w:w="2700" w:type="dxa"/>
            <w:vAlign w:val="center"/>
          </w:tcPr>
          <w:p w:rsidR="006178FD" w:rsidRPr="006178FD" w:rsidRDefault="006178FD" w:rsidP="00435F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Ligue régionale de football d’Oran  </w:t>
            </w:r>
          </w:p>
        </w:tc>
      </w:tr>
      <w:tr w:rsidR="006178FD" w:rsidRPr="006178FD" w:rsidTr="003209E2">
        <w:trPr>
          <w:trHeight w:val="759"/>
          <w:jc w:val="center"/>
        </w:trPr>
        <w:tc>
          <w:tcPr>
            <w:tcW w:w="565" w:type="dxa"/>
            <w:vAlign w:val="center"/>
          </w:tcPr>
          <w:p w:rsidR="006178FD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446" w:type="dxa"/>
            <w:vAlign w:val="center"/>
          </w:tcPr>
          <w:p w:rsidR="006178FD" w:rsidRPr="006178FD" w:rsidRDefault="006178FD" w:rsidP="003209E2">
            <w:pPr>
              <w:rPr>
                <w:b/>
                <w:bCs/>
                <w:sz w:val="24"/>
                <w:szCs w:val="24"/>
              </w:rPr>
            </w:pPr>
            <w:r w:rsidRPr="006178FD">
              <w:rPr>
                <w:b/>
                <w:bCs/>
                <w:sz w:val="24"/>
                <w:szCs w:val="24"/>
              </w:rPr>
              <w:t xml:space="preserve">Feth Sidi Abdeli </w:t>
            </w:r>
          </w:p>
        </w:tc>
        <w:tc>
          <w:tcPr>
            <w:tcW w:w="3191" w:type="dxa"/>
            <w:vAlign w:val="center"/>
          </w:tcPr>
          <w:p w:rsidR="006178FD" w:rsidRPr="006178FD" w:rsidRDefault="006178FD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point</w:t>
            </w:r>
          </w:p>
        </w:tc>
        <w:tc>
          <w:tcPr>
            <w:tcW w:w="3480" w:type="dxa"/>
            <w:vAlign w:val="center"/>
          </w:tcPr>
          <w:p w:rsidR="006178FD" w:rsidRPr="006178FD" w:rsidRDefault="003209E2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point</w:t>
            </w:r>
          </w:p>
        </w:tc>
        <w:tc>
          <w:tcPr>
            <w:tcW w:w="2568" w:type="dxa"/>
            <w:vAlign w:val="center"/>
          </w:tcPr>
          <w:p w:rsidR="006178FD" w:rsidRPr="006178FD" w:rsidRDefault="003209E2" w:rsidP="00C353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 points</w:t>
            </w:r>
          </w:p>
        </w:tc>
        <w:tc>
          <w:tcPr>
            <w:tcW w:w="2700" w:type="dxa"/>
            <w:vAlign w:val="center"/>
          </w:tcPr>
          <w:p w:rsidR="006178FD" w:rsidRPr="006178FD" w:rsidRDefault="006178FD" w:rsidP="002A24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Ligue régionale de football d’Oran  </w:t>
            </w:r>
          </w:p>
        </w:tc>
      </w:tr>
    </w:tbl>
    <w:p w:rsidR="00C35396" w:rsidRDefault="00C35396" w:rsidP="00C35396"/>
    <w:p w:rsidR="00550B0E" w:rsidRDefault="00550B0E" w:rsidP="00C35396">
      <w:pPr>
        <w:rPr>
          <w:b/>
          <w:bCs/>
          <w:u w:val="single"/>
        </w:rPr>
      </w:pPr>
    </w:p>
    <w:p w:rsidR="00550B0E" w:rsidRDefault="00550B0E" w:rsidP="00C35396">
      <w:pPr>
        <w:rPr>
          <w:b/>
          <w:bCs/>
          <w:u w:val="single"/>
        </w:rPr>
      </w:pPr>
      <w:r w:rsidRPr="00550B0E">
        <w:rPr>
          <w:b/>
          <w:bCs/>
          <w:u w:val="single"/>
        </w:rPr>
        <w:t>Copie pour information</w:t>
      </w:r>
    </w:p>
    <w:p w:rsidR="00C35396" w:rsidRPr="00550B0E" w:rsidRDefault="00550B0E" w:rsidP="00C35396">
      <w:pPr>
        <w:rPr>
          <w:b/>
          <w:bCs/>
          <w:u w:val="single"/>
        </w:rPr>
      </w:pPr>
      <w:r w:rsidRPr="00550B0E">
        <w:rPr>
          <w:b/>
          <w:bCs/>
          <w:u w:val="single"/>
        </w:rPr>
        <w:t xml:space="preserve"> </w:t>
      </w:r>
    </w:p>
    <w:p w:rsidR="00C35396" w:rsidRPr="00550B0E" w:rsidRDefault="00550B0E" w:rsidP="00C35396">
      <w:pPr>
        <w:rPr>
          <w:b/>
          <w:bCs/>
        </w:rPr>
      </w:pPr>
      <w:r>
        <w:rPr>
          <w:b/>
          <w:bCs/>
        </w:rPr>
        <w:t xml:space="preserve">- </w:t>
      </w:r>
      <w:r w:rsidRPr="00550B0E">
        <w:rPr>
          <w:b/>
          <w:bCs/>
        </w:rPr>
        <w:t xml:space="preserve">Fédération Algérienne de Football </w:t>
      </w:r>
    </w:p>
    <w:p w:rsidR="00C35396" w:rsidRDefault="00550B0E" w:rsidP="001D2823">
      <w:r w:rsidRPr="00550B0E">
        <w:rPr>
          <w:b/>
          <w:bCs/>
        </w:rPr>
        <w:t>-</w:t>
      </w:r>
      <w:r>
        <w:rPr>
          <w:b/>
          <w:bCs/>
        </w:rPr>
        <w:t xml:space="preserve"> </w:t>
      </w:r>
      <w:r w:rsidRPr="00550B0E">
        <w:rPr>
          <w:b/>
          <w:bCs/>
        </w:rPr>
        <w:t xml:space="preserve">Ligue Inter-régions </w:t>
      </w:r>
    </w:p>
    <w:sectPr w:rsidR="00C35396" w:rsidSect="00C35396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56A" w:rsidRDefault="001F756A" w:rsidP="006178FD">
      <w:pPr>
        <w:spacing w:line="240" w:lineRule="auto"/>
      </w:pPr>
      <w:r>
        <w:separator/>
      </w:r>
    </w:p>
  </w:endnote>
  <w:endnote w:type="continuationSeparator" w:id="1">
    <w:p w:rsidR="001F756A" w:rsidRDefault="001F756A" w:rsidP="00617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56A" w:rsidRDefault="001F756A" w:rsidP="006178FD">
      <w:pPr>
        <w:spacing w:line="240" w:lineRule="auto"/>
      </w:pPr>
      <w:r>
        <w:separator/>
      </w:r>
    </w:p>
  </w:footnote>
  <w:footnote w:type="continuationSeparator" w:id="1">
    <w:p w:rsidR="001F756A" w:rsidRDefault="001F756A" w:rsidP="006178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396"/>
    <w:rsid w:val="000549EC"/>
    <w:rsid w:val="000D4769"/>
    <w:rsid w:val="001466FD"/>
    <w:rsid w:val="001D2823"/>
    <w:rsid w:val="001F756A"/>
    <w:rsid w:val="00281F13"/>
    <w:rsid w:val="002B3D83"/>
    <w:rsid w:val="002D2F41"/>
    <w:rsid w:val="003209E2"/>
    <w:rsid w:val="00334EB2"/>
    <w:rsid w:val="00416F8D"/>
    <w:rsid w:val="00550B0E"/>
    <w:rsid w:val="006178FD"/>
    <w:rsid w:val="00655C5B"/>
    <w:rsid w:val="006F64FB"/>
    <w:rsid w:val="00880BD8"/>
    <w:rsid w:val="00925A61"/>
    <w:rsid w:val="00A615D0"/>
    <w:rsid w:val="00A82CAD"/>
    <w:rsid w:val="00AC766F"/>
    <w:rsid w:val="00BE3530"/>
    <w:rsid w:val="00C35396"/>
    <w:rsid w:val="00CD27B6"/>
    <w:rsid w:val="00CF2B9F"/>
    <w:rsid w:val="00F46B48"/>
    <w:rsid w:val="00FC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539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178F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78FD"/>
  </w:style>
  <w:style w:type="paragraph" w:styleId="Pieddepage">
    <w:name w:val="footer"/>
    <w:basedOn w:val="Normal"/>
    <w:link w:val="PieddepageCar"/>
    <w:uiPriority w:val="99"/>
    <w:semiHidden/>
    <w:unhideWhenUsed/>
    <w:rsid w:val="006178F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78FD"/>
  </w:style>
  <w:style w:type="paragraph" w:styleId="Textedebulles">
    <w:name w:val="Balloon Text"/>
    <w:basedOn w:val="Normal"/>
    <w:link w:val="TextedebullesCar"/>
    <w:uiPriority w:val="99"/>
    <w:semiHidden/>
    <w:unhideWhenUsed/>
    <w:rsid w:val="006178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8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0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LRFO</dc:creator>
  <cp:lastModifiedBy>LRFO</cp:lastModifiedBy>
  <cp:revision>3</cp:revision>
  <cp:lastPrinted>2025-01-13T10:16:00Z</cp:lastPrinted>
  <dcterms:created xsi:type="dcterms:W3CDTF">2025-01-13T09:35:00Z</dcterms:created>
  <dcterms:modified xsi:type="dcterms:W3CDTF">2025-01-13T10:48:00Z</dcterms:modified>
</cp:coreProperties>
</file>