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0A" w:rsidRDefault="00BA350A" w:rsidP="00BA350A">
      <w:pPr>
        <w:pStyle w:val="Heading3"/>
        <w:spacing w:before="39" w:line="360" w:lineRule="auto"/>
        <w:jc w:val="center"/>
        <w:rPr>
          <w:color w:val="17365D"/>
          <w:w w:val="95"/>
          <w:sz w:val="32"/>
          <w:szCs w:val="32"/>
          <w:u w:val="single"/>
        </w:rPr>
      </w:pPr>
      <w:r w:rsidRPr="00BA350A">
        <w:rPr>
          <w:color w:val="17365D"/>
          <w:w w:val="95"/>
          <w:sz w:val="32"/>
          <w:szCs w:val="32"/>
          <w:u w:val="single"/>
        </w:rPr>
        <w:t xml:space="preserve">REGLEMENT </w:t>
      </w:r>
    </w:p>
    <w:p w:rsidR="00BA350A" w:rsidRDefault="00BA350A" w:rsidP="00BA350A">
      <w:pPr>
        <w:pStyle w:val="Heading3"/>
        <w:spacing w:before="39" w:line="360" w:lineRule="auto"/>
        <w:jc w:val="center"/>
        <w:rPr>
          <w:color w:val="17365D"/>
          <w:w w:val="95"/>
          <w:sz w:val="32"/>
          <w:szCs w:val="32"/>
          <w:u w:val="single"/>
        </w:rPr>
      </w:pPr>
      <w:r w:rsidRPr="00BA350A">
        <w:rPr>
          <w:color w:val="17365D"/>
          <w:w w:val="95"/>
          <w:sz w:val="32"/>
          <w:szCs w:val="32"/>
          <w:u w:val="single"/>
        </w:rPr>
        <w:t>DES CHAMPIONNATS DE FOOTBALL AMATEUR</w:t>
      </w:r>
    </w:p>
    <w:p w:rsidR="00BA350A" w:rsidRPr="00BA350A" w:rsidRDefault="00BA350A" w:rsidP="00BA350A">
      <w:pPr>
        <w:pStyle w:val="Heading3"/>
        <w:spacing w:before="39" w:line="360" w:lineRule="auto"/>
        <w:jc w:val="center"/>
        <w:rPr>
          <w:color w:val="17365D"/>
          <w:w w:val="95"/>
          <w:sz w:val="32"/>
          <w:szCs w:val="32"/>
          <w:u w:val="single"/>
        </w:rPr>
      </w:pPr>
    </w:p>
    <w:p w:rsidR="00BA350A" w:rsidRDefault="00B16FBE" w:rsidP="00BA350A">
      <w:pPr>
        <w:pStyle w:val="Heading3"/>
        <w:spacing w:before="39" w:line="360" w:lineRule="auto"/>
      </w:pPr>
      <w:r>
        <w:pict>
          <v:line id="_x0000_s1026" style="position:absolute;left:0;text-align:left;z-index:251660288;mso-wrap-distance-left:0;mso-wrap-distance-right:0;mso-position-horizontal-relative:page" from="55.2pt,21.5pt" to="554.3pt,21.5pt" strokecolor="#4f81bc" strokeweight="2.16pt">
            <w10:wrap type="topAndBottom" anchorx="page"/>
          </v:line>
        </w:pict>
      </w:r>
      <w:r w:rsidR="00BA350A">
        <w:rPr>
          <w:color w:val="17365D"/>
          <w:w w:val="95"/>
        </w:rPr>
        <w:t>Article 14</w:t>
      </w:r>
      <w:r w:rsidR="00BA350A" w:rsidRPr="00E90A60">
        <w:rPr>
          <w:color w:val="FF0000"/>
          <w:w w:val="95"/>
        </w:rPr>
        <w:t xml:space="preserve">2 </w:t>
      </w:r>
      <w:r w:rsidR="00BA350A">
        <w:rPr>
          <w:color w:val="17365D"/>
          <w:w w:val="95"/>
        </w:rPr>
        <w:t>: Responsabilité du décompte des sanctions</w:t>
      </w:r>
    </w:p>
    <w:p w:rsidR="00BA350A" w:rsidRDefault="00BA350A" w:rsidP="00BA350A">
      <w:pPr>
        <w:pStyle w:val="Corpsdetexte"/>
        <w:spacing w:before="1" w:line="360" w:lineRule="auto"/>
        <w:rPr>
          <w:b/>
          <w:sz w:val="13"/>
        </w:rPr>
      </w:pPr>
    </w:p>
    <w:p w:rsidR="00BA350A" w:rsidRDefault="00BA350A" w:rsidP="00BA350A">
      <w:pPr>
        <w:spacing w:before="60" w:line="360" w:lineRule="auto"/>
        <w:ind w:left="450"/>
      </w:pPr>
      <w:r>
        <w:t>Le décompte des sanctions, avertissements ou autres relève de la seule responsabilité des clubs.</w:t>
      </w:r>
    </w:p>
    <w:p w:rsidR="00BA350A" w:rsidRDefault="00BA350A" w:rsidP="00BA350A">
      <w:pPr>
        <w:pStyle w:val="Corpsdetexte"/>
        <w:spacing w:before="8" w:line="360" w:lineRule="auto"/>
        <w:rPr>
          <w:sz w:val="22"/>
        </w:rPr>
      </w:pPr>
    </w:p>
    <w:p w:rsidR="00BA350A" w:rsidRDefault="00B16FBE" w:rsidP="00BA350A">
      <w:pPr>
        <w:pStyle w:val="Heading3"/>
        <w:spacing w:line="360" w:lineRule="auto"/>
      </w:pPr>
      <w:r>
        <w:pict>
          <v:line id="_x0000_s1027" style="position:absolute;left:0;text-align:left;z-index:251661312;mso-wrap-distance-left:0;mso-wrap-distance-right:0;mso-position-horizontal-relative:page" from="55.2pt,19.55pt" to="554.3pt,19.55pt" strokecolor="#4f81bc" strokeweight="2.16pt">
            <w10:wrap type="topAndBottom" anchorx="page"/>
          </v:line>
        </w:pict>
      </w:r>
      <w:r w:rsidR="00BA350A">
        <w:rPr>
          <w:color w:val="17365D"/>
          <w:w w:val="95"/>
        </w:rPr>
        <w:t>Article 14</w:t>
      </w:r>
      <w:r w:rsidR="00BA350A" w:rsidRPr="00E90A60">
        <w:rPr>
          <w:color w:val="FF0000"/>
          <w:w w:val="95"/>
        </w:rPr>
        <w:t>3</w:t>
      </w:r>
      <w:r w:rsidR="00BA350A">
        <w:rPr>
          <w:color w:val="17365D"/>
          <w:w w:val="95"/>
        </w:rPr>
        <w:t xml:space="preserve"> : Report des sanctions</w:t>
      </w:r>
    </w:p>
    <w:p w:rsidR="00BA350A" w:rsidRDefault="00BA350A" w:rsidP="00BA350A">
      <w:pPr>
        <w:pStyle w:val="Corpsdetexte"/>
        <w:spacing w:before="1" w:line="360" w:lineRule="auto"/>
        <w:rPr>
          <w:b/>
          <w:sz w:val="13"/>
        </w:rPr>
      </w:pPr>
    </w:p>
    <w:p w:rsidR="00BA350A" w:rsidRDefault="00BA350A" w:rsidP="00BA350A">
      <w:pPr>
        <w:spacing w:before="60" w:line="360" w:lineRule="auto"/>
        <w:ind w:left="450"/>
      </w:pPr>
      <w:r w:rsidRPr="00BA350A">
        <w:t xml:space="preserve">A la fin d’une saison sportive et sauf dispositions contraires, toutes les sanctions ou les reliquats de sanctions </w:t>
      </w:r>
      <w:r>
        <w:t>sont</w:t>
      </w:r>
      <w:r w:rsidRPr="00BA350A">
        <w:t xml:space="preserve"> </w:t>
      </w:r>
      <w:r>
        <w:t>reportés</w:t>
      </w:r>
      <w:r w:rsidRPr="00BA350A">
        <w:t xml:space="preserve"> </w:t>
      </w:r>
      <w:r>
        <w:t>pour</w:t>
      </w:r>
      <w:r w:rsidRPr="00BA350A">
        <w:t xml:space="preserve"> </w:t>
      </w:r>
      <w:r>
        <w:t>la</w:t>
      </w:r>
      <w:r w:rsidRPr="00BA350A">
        <w:t xml:space="preserve"> </w:t>
      </w:r>
      <w:r>
        <w:t>saison</w:t>
      </w:r>
      <w:r w:rsidRPr="00BA350A">
        <w:t xml:space="preserve"> </w:t>
      </w:r>
      <w:r>
        <w:t>suivante.</w:t>
      </w:r>
    </w:p>
    <w:p w:rsidR="00BA350A" w:rsidRPr="00BA350A" w:rsidRDefault="00BA350A" w:rsidP="00BA350A">
      <w:pPr>
        <w:pStyle w:val="Corpsdetexte"/>
        <w:spacing w:before="5" w:line="360" w:lineRule="auto"/>
        <w:rPr>
          <w:sz w:val="22"/>
          <w:szCs w:val="22"/>
        </w:rPr>
      </w:pPr>
    </w:p>
    <w:p w:rsidR="00BA350A" w:rsidRDefault="00B16FBE" w:rsidP="00BA350A">
      <w:pPr>
        <w:pStyle w:val="Heading3"/>
        <w:spacing w:line="360" w:lineRule="auto"/>
      </w:pPr>
      <w:r>
        <w:pict>
          <v:line id="_x0000_s1028" style="position:absolute;left:0;text-align:left;z-index:251662336;mso-wrap-distance-left:0;mso-wrap-distance-right:0;mso-position-horizontal-relative:page" from="55.2pt,19.55pt" to="554.3pt,19.55pt" strokecolor="#4f81bc" strokeweight="2.16pt">
            <w10:wrap type="topAndBottom" anchorx="page"/>
          </v:line>
        </w:pict>
      </w:r>
      <w:r w:rsidR="00BA350A">
        <w:rPr>
          <w:color w:val="17365D"/>
        </w:rPr>
        <w:t>Article 14</w:t>
      </w:r>
      <w:r w:rsidR="00BA350A" w:rsidRPr="00E90A60">
        <w:rPr>
          <w:color w:val="FF0000"/>
        </w:rPr>
        <w:t>4</w:t>
      </w:r>
      <w:r w:rsidR="00BA350A">
        <w:rPr>
          <w:color w:val="17365D"/>
        </w:rPr>
        <w:t xml:space="preserve"> : Annulation de la sanction</w:t>
      </w:r>
    </w:p>
    <w:p w:rsidR="00BA350A" w:rsidRDefault="00BA350A" w:rsidP="00BA350A">
      <w:pPr>
        <w:pStyle w:val="Corpsdetexte"/>
        <w:spacing w:before="4" w:line="360" w:lineRule="auto"/>
        <w:rPr>
          <w:b/>
          <w:sz w:val="11"/>
        </w:rPr>
      </w:pPr>
    </w:p>
    <w:p w:rsidR="00BA350A" w:rsidRDefault="00BA350A" w:rsidP="00BA350A">
      <w:pPr>
        <w:pStyle w:val="Paragraphedeliste"/>
        <w:numPr>
          <w:ilvl w:val="0"/>
          <w:numId w:val="1"/>
        </w:numPr>
        <w:tabs>
          <w:tab w:val="left" w:pos="754"/>
        </w:tabs>
        <w:spacing w:before="80" w:line="360" w:lineRule="auto"/>
        <w:ind w:right="226"/>
        <w:jc w:val="both"/>
      </w:pPr>
      <w:r>
        <w:t>Les</w:t>
      </w:r>
      <w:r>
        <w:rPr>
          <w:spacing w:val="-41"/>
        </w:rPr>
        <w:t xml:space="preserve"> </w:t>
      </w:r>
      <w:r>
        <w:t>avertissements</w:t>
      </w:r>
      <w:r>
        <w:rPr>
          <w:spacing w:val="-40"/>
        </w:rPr>
        <w:t xml:space="preserve"> </w:t>
      </w:r>
      <w:r>
        <w:t>dont</w:t>
      </w:r>
      <w:r>
        <w:rPr>
          <w:spacing w:val="-41"/>
        </w:rPr>
        <w:t xml:space="preserve">  </w:t>
      </w:r>
      <w:r>
        <w:t>le</w:t>
      </w:r>
      <w:r>
        <w:rPr>
          <w:spacing w:val="-41"/>
        </w:rPr>
        <w:t xml:space="preserve">  </w:t>
      </w:r>
      <w:r>
        <w:t>nombre</w:t>
      </w:r>
      <w:r>
        <w:rPr>
          <w:spacing w:val="-41"/>
        </w:rPr>
        <w:t xml:space="preserve"> </w:t>
      </w:r>
      <w:r>
        <w:t>est</w:t>
      </w:r>
      <w:r>
        <w:rPr>
          <w:spacing w:val="-41"/>
        </w:rPr>
        <w:t xml:space="preserve"> </w:t>
      </w:r>
      <w:r>
        <w:t>inferieur</w:t>
      </w:r>
      <w:r>
        <w:rPr>
          <w:spacing w:val="-42"/>
        </w:rPr>
        <w:t xml:space="preserve"> </w:t>
      </w:r>
      <w:r>
        <w:t>ou</w:t>
      </w:r>
      <w:r>
        <w:rPr>
          <w:spacing w:val="-41"/>
        </w:rPr>
        <w:t xml:space="preserve"> </w:t>
      </w:r>
      <w:r>
        <w:t>égal</w:t>
      </w:r>
      <w:r>
        <w:rPr>
          <w:spacing w:val="-42"/>
        </w:rPr>
        <w:t xml:space="preserve"> </w:t>
      </w:r>
      <w:r>
        <w:t>à</w:t>
      </w:r>
      <w:r>
        <w:rPr>
          <w:spacing w:val="-40"/>
        </w:rPr>
        <w:t xml:space="preserve"> </w:t>
      </w:r>
      <w:r>
        <w:t>trois</w:t>
      </w:r>
      <w:r>
        <w:rPr>
          <w:spacing w:val="-41"/>
        </w:rPr>
        <w:t xml:space="preserve"> </w:t>
      </w:r>
      <w:r>
        <w:t>(03)</w:t>
      </w:r>
      <w:r>
        <w:rPr>
          <w:spacing w:val="-42"/>
        </w:rPr>
        <w:t xml:space="preserve"> </w:t>
      </w:r>
      <w:r>
        <w:t>infligés</w:t>
      </w:r>
      <w:r>
        <w:rPr>
          <w:spacing w:val="-40"/>
        </w:rPr>
        <w:t xml:space="preserve"> </w:t>
      </w:r>
      <w:r>
        <w:t>à</w:t>
      </w:r>
      <w:r>
        <w:rPr>
          <w:spacing w:val="-41"/>
        </w:rPr>
        <w:t xml:space="preserve"> </w:t>
      </w:r>
      <w:r>
        <w:t>un</w:t>
      </w:r>
      <w:r>
        <w:rPr>
          <w:spacing w:val="-41"/>
        </w:rPr>
        <w:t xml:space="preserve"> </w:t>
      </w:r>
      <w:r>
        <w:t>joueur</w:t>
      </w:r>
      <w:r>
        <w:rPr>
          <w:spacing w:val="-41"/>
        </w:rPr>
        <w:t xml:space="preserve"> </w:t>
      </w:r>
      <w:r>
        <w:t>avant</w:t>
      </w:r>
      <w:r>
        <w:rPr>
          <w:spacing w:val="-40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>date</w:t>
      </w:r>
      <w:r>
        <w:rPr>
          <w:spacing w:val="-40"/>
        </w:rPr>
        <w:t xml:space="preserve"> </w:t>
      </w:r>
      <w:r>
        <w:t>du</w:t>
      </w:r>
      <w:r>
        <w:rPr>
          <w:spacing w:val="-42"/>
        </w:rPr>
        <w:t xml:space="preserve"> </w:t>
      </w:r>
      <w:r>
        <w:t>1</w:t>
      </w:r>
      <w:r>
        <w:rPr>
          <w:vertAlign w:val="superscript"/>
        </w:rPr>
        <w:t>er</w:t>
      </w:r>
      <w:r>
        <w:t xml:space="preserve"> match de la phase retour sont annulés. La sanction pour un match ferme relative à quatre (04) avertissements</w:t>
      </w:r>
      <w:r>
        <w:rPr>
          <w:spacing w:val="-26"/>
        </w:rPr>
        <w:t xml:space="preserve"> </w:t>
      </w:r>
      <w:r>
        <w:t>infligés</w:t>
      </w:r>
      <w:r>
        <w:rPr>
          <w:spacing w:val="-23"/>
        </w:rPr>
        <w:t xml:space="preserve"> </w:t>
      </w:r>
      <w:r>
        <w:t>à</w:t>
      </w:r>
      <w:r>
        <w:rPr>
          <w:spacing w:val="-25"/>
        </w:rPr>
        <w:t xml:space="preserve"> </w:t>
      </w:r>
      <w:r>
        <w:t>un</w:t>
      </w:r>
      <w:r>
        <w:rPr>
          <w:spacing w:val="-25"/>
        </w:rPr>
        <w:t xml:space="preserve"> </w:t>
      </w:r>
      <w:r>
        <w:t>joueur</w:t>
      </w:r>
      <w:r>
        <w:rPr>
          <w:spacing w:val="-23"/>
        </w:rPr>
        <w:t xml:space="preserve"> </w:t>
      </w:r>
      <w:r>
        <w:t>reste</w:t>
      </w:r>
      <w:r>
        <w:rPr>
          <w:spacing w:val="-26"/>
        </w:rPr>
        <w:t xml:space="preserve"> </w:t>
      </w:r>
      <w:r>
        <w:t>maintenue,</w:t>
      </w:r>
      <w:r>
        <w:rPr>
          <w:spacing w:val="-26"/>
        </w:rPr>
        <w:t xml:space="preserve"> </w:t>
      </w:r>
      <w:r>
        <w:t>et</w:t>
      </w:r>
      <w:r>
        <w:rPr>
          <w:spacing w:val="-23"/>
        </w:rPr>
        <w:t xml:space="preserve"> </w:t>
      </w:r>
      <w:r>
        <w:t>elle</w:t>
      </w:r>
      <w:r>
        <w:rPr>
          <w:spacing w:val="-23"/>
        </w:rPr>
        <w:t xml:space="preserve"> </w:t>
      </w:r>
      <w:r>
        <w:t>est</w:t>
      </w:r>
      <w:r>
        <w:rPr>
          <w:spacing w:val="-23"/>
        </w:rPr>
        <w:t xml:space="preserve"> </w:t>
      </w:r>
      <w:r>
        <w:t>reportée</w:t>
      </w:r>
      <w:r>
        <w:rPr>
          <w:spacing w:val="-23"/>
        </w:rPr>
        <w:t xml:space="preserve"> </w:t>
      </w:r>
      <w:r>
        <w:t>à</w:t>
      </w:r>
      <w:r>
        <w:rPr>
          <w:spacing w:val="-26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phase</w:t>
      </w:r>
      <w:r>
        <w:rPr>
          <w:spacing w:val="-23"/>
        </w:rPr>
        <w:t xml:space="preserve"> </w:t>
      </w:r>
      <w:r>
        <w:t>retour.</w:t>
      </w:r>
    </w:p>
    <w:p w:rsidR="00BA350A" w:rsidRDefault="00BA350A" w:rsidP="00BA350A">
      <w:pPr>
        <w:pStyle w:val="Corpsdetexte"/>
        <w:spacing w:before="1" w:line="360" w:lineRule="auto"/>
        <w:rPr>
          <w:sz w:val="21"/>
        </w:rPr>
      </w:pPr>
    </w:p>
    <w:p w:rsidR="00BA350A" w:rsidRDefault="00BA350A" w:rsidP="00BA350A">
      <w:pPr>
        <w:pStyle w:val="Paragraphedeliste"/>
        <w:numPr>
          <w:ilvl w:val="0"/>
          <w:numId w:val="1"/>
        </w:numPr>
        <w:tabs>
          <w:tab w:val="left" w:pos="754"/>
        </w:tabs>
        <w:spacing w:line="360" w:lineRule="auto"/>
        <w:ind w:right="226"/>
        <w:jc w:val="both"/>
        <w:rPr>
          <w:b/>
        </w:rPr>
      </w:pPr>
      <w:r>
        <w:t>A</w:t>
      </w:r>
      <w:r>
        <w:rPr>
          <w:spacing w:val="-31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fin</w:t>
      </w:r>
      <w:r>
        <w:rPr>
          <w:spacing w:val="-30"/>
        </w:rPr>
        <w:t xml:space="preserve"> </w:t>
      </w:r>
      <w:r>
        <w:t>d’une</w:t>
      </w:r>
      <w:r>
        <w:rPr>
          <w:spacing w:val="-29"/>
        </w:rPr>
        <w:t xml:space="preserve"> </w:t>
      </w:r>
      <w:r>
        <w:t>saison</w:t>
      </w:r>
      <w:r>
        <w:rPr>
          <w:spacing w:val="-31"/>
        </w:rPr>
        <w:t xml:space="preserve"> </w:t>
      </w:r>
      <w:r>
        <w:t>sportive,</w:t>
      </w:r>
      <w:r>
        <w:rPr>
          <w:spacing w:val="-29"/>
        </w:rPr>
        <w:t xml:space="preserve"> </w:t>
      </w:r>
      <w:r>
        <w:t>et</w:t>
      </w:r>
      <w:r>
        <w:rPr>
          <w:spacing w:val="-30"/>
        </w:rPr>
        <w:t xml:space="preserve"> </w:t>
      </w:r>
      <w:r>
        <w:t>à</w:t>
      </w:r>
      <w:r>
        <w:rPr>
          <w:spacing w:val="-30"/>
        </w:rPr>
        <w:t xml:space="preserve"> </w:t>
      </w:r>
      <w:r>
        <w:t>l’exception</w:t>
      </w:r>
      <w:r>
        <w:rPr>
          <w:spacing w:val="-30"/>
        </w:rPr>
        <w:t xml:space="preserve"> </w:t>
      </w:r>
      <w:r>
        <w:t>des</w:t>
      </w:r>
      <w:r>
        <w:rPr>
          <w:spacing w:val="-30"/>
        </w:rPr>
        <w:t xml:space="preserve"> </w:t>
      </w:r>
      <w:r>
        <w:t>amendes</w:t>
      </w:r>
      <w:r>
        <w:rPr>
          <w:spacing w:val="-30"/>
        </w:rPr>
        <w:t xml:space="preserve"> </w:t>
      </w:r>
      <w:r>
        <w:t>financières,</w:t>
      </w:r>
      <w:r>
        <w:rPr>
          <w:spacing w:val="-30"/>
        </w:rPr>
        <w:t xml:space="preserve"> </w:t>
      </w:r>
      <w:r>
        <w:t>les</w:t>
      </w:r>
      <w:r>
        <w:rPr>
          <w:spacing w:val="-30"/>
        </w:rPr>
        <w:t xml:space="preserve"> </w:t>
      </w:r>
      <w:r>
        <w:t>avertissements</w:t>
      </w:r>
      <w:r>
        <w:rPr>
          <w:spacing w:val="-29"/>
        </w:rPr>
        <w:t xml:space="preserve"> </w:t>
      </w:r>
      <w:r>
        <w:t>infligés</w:t>
      </w:r>
      <w:r>
        <w:rPr>
          <w:spacing w:val="-30"/>
        </w:rPr>
        <w:t xml:space="preserve"> </w:t>
      </w:r>
      <w:r>
        <w:t xml:space="preserve">aux </w:t>
      </w:r>
      <w:r>
        <w:rPr>
          <w:w w:val="95"/>
        </w:rPr>
        <w:t>joueurs</w:t>
      </w:r>
      <w:r>
        <w:rPr>
          <w:spacing w:val="-16"/>
          <w:w w:val="95"/>
        </w:rPr>
        <w:t xml:space="preserve"> </w:t>
      </w:r>
      <w:r>
        <w:rPr>
          <w:w w:val="95"/>
        </w:rPr>
        <w:t>et</w:t>
      </w:r>
      <w:r>
        <w:rPr>
          <w:spacing w:val="-13"/>
          <w:w w:val="95"/>
        </w:rPr>
        <w:t xml:space="preserve"> </w:t>
      </w:r>
      <w:r>
        <w:rPr>
          <w:w w:val="95"/>
        </w:rPr>
        <w:t>les</w:t>
      </w:r>
      <w:r>
        <w:rPr>
          <w:spacing w:val="29"/>
          <w:w w:val="95"/>
        </w:rPr>
        <w:t xml:space="preserve"> </w:t>
      </w:r>
      <w:r>
        <w:rPr>
          <w:w w:val="95"/>
        </w:rPr>
        <w:t>sanctions</w:t>
      </w:r>
      <w:r>
        <w:rPr>
          <w:spacing w:val="-13"/>
          <w:w w:val="95"/>
        </w:rPr>
        <w:t xml:space="preserve"> </w:t>
      </w:r>
      <w:r>
        <w:rPr>
          <w:w w:val="95"/>
        </w:rPr>
        <w:t>relatives</w:t>
      </w:r>
      <w:r>
        <w:rPr>
          <w:spacing w:val="-16"/>
          <w:w w:val="95"/>
        </w:rPr>
        <w:t xml:space="preserve"> </w:t>
      </w:r>
      <w:r>
        <w:rPr>
          <w:w w:val="95"/>
        </w:rPr>
        <w:t>à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suspension</w:t>
      </w:r>
      <w:r>
        <w:rPr>
          <w:spacing w:val="-15"/>
          <w:w w:val="95"/>
        </w:rPr>
        <w:t xml:space="preserve"> </w:t>
      </w:r>
      <w:r>
        <w:rPr>
          <w:w w:val="95"/>
        </w:rPr>
        <w:t>d’un</w:t>
      </w:r>
      <w:r>
        <w:rPr>
          <w:spacing w:val="-14"/>
          <w:w w:val="95"/>
        </w:rPr>
        <w:t xml:space="preserve"> </w:t>
      </w:r>
      <w:r>
        <w:rPr>
          <w:w w:val="95"/>
        </w:rPr>
        <w:t>match</w:t>
      </w:r>
      <w:r>
        <w:rPr>
          <w:spacing w:val="-14"/>
          <w:w w:val="95"/>
        </w:rPr>
        <w:t xml:space="preserve"> </w:t>
      </w:r>
      <w:r>
        <w:rPr>
          <w:w w:val="95"/>
        </w:rPr>
        <w:t>ferme</w:t>
      </w:r>
      <w:r>
        <w:rPr>
          <w:spacing w:val="-13"/>
          <w:w w:val="95"/>
        </w:rPr>
        <w:t xml:space="preserve"> </w:t>
      </w:r>
      <w:r>
        <w:rPr>
          <w:w w:val="95"/>
        </w:rPr>
        <w:t>sont</w:t>
      </w:r>
      <w:r>
        <w:rPr>
          <w:spacing w:val="-13"/>
          <w:w w:val="95"/>
        </w:rPr>
        <w:t xml:space="preserve"> </w:t>
      </w:r>
      <w:r>
        <w:rPr>
          <w:w w:val="95"/>
        </w:rPr>
        <w:t>annulés.</w:t>
      </w:r>
      <w:r>
        <w:rPr>
          <w:spacing w:val="-14"/>
          <w:w w:val="95"/>
        </w:rPr>
        <w:t xml:space="preserve"> </w:t>
      </w:r>
      <w:r>
        <w:rPr>
          <w:w w:val="95"/>
        </w:rPr>
        <w:t>Ils</w:t>
      </w:r>
      <w:r>
        <w:rPr>
          <w:spacing w:val="-14"/>
          <w:w w:val="95"/>
        </w:rPr>
        <w:t xml:space="preserve"> </w:t>
      </w:r>
      <w:r>
        <w:rPr>
          <w:w w:val="95"/>
        </w:rPr>
        <w:t>ne</w:t>
      </w:r>
      <w:r>
        <w:rPr>
          <w:spacing w:val="-13"/>
          <w:w w:val="95"/>
        </w:rPr>
        <w:t xml:space="preserve"> </w:t>
      </w:r>
      <w:r>
        <w:rPr>
          <w:w w:val="95"/>
        </w:rPr>
        <w:t>sont</w:t>
      </w:r>
      <w:r>
        <w:rPr>
          <w:spacing w:val="-13"/>
          <w:w w:val="95"/>
        </w:rPr>
        <w:t xml:space="preserve"> </w:t>
      </w:r>
      <w:r>
        <w:rPr>
          <w:w w:val="95"/>
        </w:rPr>
        <w:t>pas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reportés </w:t>
      </w:r>
      <w:r>
        <w:t>pour la saison</w:t>
      </w:r>
      <w:r>
        <w:rPr>
          <w:spacing w:val="-39"/>
        </w:rPr>
        <w:t xml:space="preserve"> </w:t>
      </w:r>
      <w:r>
        <w:t>suivante</w:t>
      </w:r>
      <w:r>
        <w:rPr>
          <w:b/>
        </w:rPr>
        <w:t>.</w:t>
      </w:r>
    </w:p>
    <w:p w:rsidR="00BA350A" w:rsidRDefault="00BA350A" w:rsidP="00BA350A">
      <w:pPr>
        <w:pStyle w:val="Corpsdetexte"/>
        <w:spacing w:before="8" w:line="360" w:lineRule="auto"/>
        <w:rPr>
          <w:b/>
          <w:sz w:val="21"/>
        </w:rPr>
      </w:pPr>
    </w:p>
    <w:p w:rsidR="00BA350A" w:rsidRDefault="00B16FBE" w:rsidP="00BA350A">
      <w:pPr>
        <w:pStyle w:val="Heading3"/>
        <w:spacing w:line="360" w:lineRule="auto"/>
      </w:pPr>
      <w:r>
        <w:pict>
          <v:line id="_x0000_s1029" style="position:absolute;left:0;text-align:left;z-index:251663360;mso-wrap-distance-left:0;mso-wrap-distance-right:0;mso-position-horizontal-relative:page" from="55.2pt,19.55pt" to="554.3pt,19.55pt" strokecolor="#4f81bc" strokeweight="2.16pt">
            <w10:wrap type="topAndBottom" anchorx="page"/>
          </v:line>
        </w:pict>
      </w:r>
      <w:r w:rsidR="00BA350A">
        <w:rPr>
          <w:color w:val="17365D"/>
        </w:rPr>
        <w:t>Article 14</w:t>
      </w:r>
      <w:r w:rsidR="00BA350A" w:rsidRPr="00E90A60">
        <w:rPr>
          <w:color w:val="FF0000"/>
        </w:rPr>
        <w:t>5</w:t>
      </w:r>
      <w:r w:rsidR="00BA350A">
        <w:rPr>
          <w:color w:val="17365D"/>
        </w:rPr>
        <w:t xml:space="preserve"> : Annulation de la sanction non purgée</w:t>
      </w:r>
    </w:p>
    <w:p w:rsidR="00BA350A" w:rsidRDefault="00BA350A" w:rsidP="00BA350A">
      <w:pPr>
        <w:pStyle w:val="Corpsdetexte"/>
        <w:spacing w:before="1" w:line="360" w:lineRule="auto"/>
        <w:rPr>
          <w:b/>
          <w:sz w:val="13"/>
        </w:rPr>
      </w:pPr>
    </w:p>
    <w:p w:rsidR="00BA350A" w:rsidRDefault="00BA350A" w:rsidP="00BA350A">
      <w:pPr>
        <w:spacing w:before="60" w:line="360" w:lineRule="auto"/>
        <w:ind w:left="450"/>
      </w:pPr>
      <w:r w:rsidRPr="00BA350A">
        <w:t xml:space="preserve">A la fin d'une saison sportive, la sanction pour un match de suspension ferme non purgée est annulée. Elle ne </w:t>
      </w:r>
      <w:r>
        <w:t>peut</w:t>
      </w:r>
      <w:r w:rsidRPr="00BA350A">
        <w:t xml:space="preserve"> </w:t>
      </w:r>
      <w:r>
        <w:t>être</w:t>
      </w:r>
      <w:r w:rsidRPr="00BA350A">
        <w:t xml:space="preserve"> </w:t>
      </w:r>
      <w:r>
        <w:t>reportée</w:t>
      </w:r>
      <w:r w:rsidRPr="00BA350A">
        <w:t xml:space="preserve"> </w:t>
      </w:r>
      <w:r>
        <w:t>pour</w:t>
      </w:r>
      <w:r w:rsidRPr="00BA350A">
        <w:t xml:space="preserve"> </w:t>
      </w:r>
      <w:r>
        <w:t>la</w:t>
      </w:r>
      <w:r w:rsidRPr="00BA350A">
        <w:t xml:space="preserve"> </w:t>
      </w:r>
      <w:r>
        <w:t>saison</w:t>
      </w:r>
      <w:r w:rsidRPr="00BA350A">
        <w:t xml:space="preserve"> </w:t>
      </w:r>
      <w:r>
        <w:t>suivante.</w:t>
      </w:r>
    </w:p>
    <w:p w:rsidR="00CD27B6" w:rsidRDefault="00CD27B6" w:rsidP="00BA350A">
      <w:pPr>
        <w:spacing w:line="360" w:lineRule="auto"/>
      </w:pPr>
    </w:p>
    <w:sectPr w:rsidR="00CD27B6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185"/>
    <w:multiLevelType w:val="hybridMultilevel"/>
    <w:tmpl w:val="88B044E0"/>
    <w:lvl w:ilvl="0" w:tplc="A49EC15C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A350A"/>
    <w:rsid w:val="001466FD"/>
    <w:rsid w:val="00172F1D"/>
    <w:rsid w:val="00281F13"/>
    <w:rsid w:val="00880BD8"/>
    <w:rsid w:val="00925A61"/>
    <w:rsid w:val="00B16FBE"/>
    <w:rsid w:val="00BA350A"/>
    <w:rsid w:val="00CD27B6"/>
    <w:rsid w:val="00D9788C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350A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A350A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A350A"/>
    <w:rPr>
      <w:rFonts w:ascii="Arial" w:eastAsia="Arial" w:hAnsi="Arial" w:cs="Arial"/>
      <w:sz w:val="24"/>
      <w:szCs w:val="24"/>
      <w:lang w:eastAsia="fr-FR" w:bidi="fr-FR"/>
    </w:rPr>
  </w:style>
  <w:style w:type="paragraph" w:customStyle="1" w:styleId="Heading3">
    <w:name w:val="Heading 3"/>
    <w:basedOn w:val="Normal"/>
    <w:uiPriority w:val="1"/>
    <w:qFormat/>
    <w:rsid w:val="00BA350A"/>
    <w:pPr>
      <w:ind w:left="392"/>
      <w:outlineLvl w:val="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A350A"/>
    <w:pPr>
      <w:ind w:left="753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dcterms:created xsi:type="dcterms:W3CDTF">2023-02-27T09:31:00Z</dcterms:created>
  <dcterms:modified xsi:type="dcterms:W3CDTF">2023-02-27T09:31:00Z</dcterms:modified>
</cp:coreProperties>
</file>